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57465" w14:textId="235D5822" w:rsidR="00213D08" w:rsidRPr="00213D08" w:rsidRDefault="00213D08" w:rsidP="00213D08">
      <w:pPr>
        <w:shd w:val="clear" w:color="auto" w:fill="FFFFFF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</w:pPr>
      <w:r w:rsidRPr="00213D08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  <w:t>La demande chinoise reste le point noir du marché</w:t>
      </w:r>
    </w:p>
    <w:p w14:paraId="07C3B66F" w14:textId="77777777" w:rsidR="00213D08" w:rsidRDefault="00213D08" w:rsidP="00213D08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FR"/>
        </w:rPr>
      </w:pPr>
    </w:p>
    <w:p w14:paraId="5001168E" w14:textId="6D0F873A" w:rsidR="00213D08" w:rsidRPr="00213D08" w:rsidRDefault="00213D08" w:rsidP="00213D08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213D08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Le cuivre a cédé du terrain au cours de la matinée, déprimé par les annonces de la Chine, qui a réaffirmé sa volonté de maintenir une politique sanitaire stricte, douchant les espoirs du marché d’un abandon du ‘zéro-Covid’. Une nouvelle baisse conséquente des stocks et le repli du dollar permettent toutefois de limiter la casse. En ce début d’après-midi, le cuivre pour livraison à 3 mois affiche une perte de 1,6 %, à 7.970 $/tonne.</w:t>
      </w:r>
    </w:p>
    <w:p w14:paraId="54CB147C" w14:textId="77777777" w:rsidR="00213D08" w:rsidRPr="00213D08" w:rsidRDefault="00213D08" w:rsidP="00213D08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213D08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Vendredi, le cours avait bondi de 7 %, le gain le plus important sur une séance  enregistré depuis janvier 2009. Le métal rouge avait tiré parti des rumeurs d’assouplissement des mesures anti-Covid chinoises. «</w:t>
      </w:r>
      <w:r w:rsidRPr="00213D08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FR"/>
        </w:rPr>
        <w:t> La politique ‘zéro-Covid’ de la Chine n’est pas le seul problème </w:t>
      </w:r>
      <w:r w:rsidRPr="00213D08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», souligne Carsten </w:t>
      </w:r>
      <w:proofErr w:type="spellStart"/>
      <w:r w:rsidRPr="00213D08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Menke</w:t>
      </w:r>
      <w:proofErr w:type="spellEnd"/>
      <w:r w:rsidRPr="00213D08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, analyste chez Julius Baer. «</w:t>
      </w:r>
      <w:r w:rsidRPr="00213D08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FR"/>
        </w:rPr>
        <w:t> Mettre un terme à cette politique ne réglera pas le problème du marché de l’immobilier. Les câbles dans les bâtiments et les logements d’habitation représentent une grosse partie de la demande en cuivre </w:t>
      </w:r>
      <w:r w:rsidRPr="00213D08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», développe-t-il.</w:t>
      </w:r>
    </w:p>
    <w:p w14:paraId="0DDDBD28" w14:textId="77777777" w:rsidR="00213D08" w:rsidRPr="00213D08" w:rsidRDefault="00213D08" w:rsidP="00213D08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213D08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Les chiffres ont montré que le marché immobilier chinois avait poursuivi son déclin en octobre. L’approche très stricte du pays face au Covid-19 a étranglé son secteur manufacturier et heurté de plein fouet la demande en métaux industriels.</w:t>
      </w:r>
    </w:p>
    <w:p w14:paraId="0EAE4E6C" w14:textId="77777777" w:rsidR="00213D08" w:rsidRPr="00213D08" w:rsidRDefault="00213D08" w:rsidP="00213D08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213D08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Du côté des stocks, la tendance baissière se poursuit, puisque 4.050 tonnes ont été retirées des entrepôts, qui totalisent actuellement 84.550 tonnes, dont 46 % de ’</w:t>
      </w:r>
      <w:proofErr w:type="spellStart"/>
      <w:r w:rsidRPr="00213D08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cancelled</w:t>
      </w:r>
      <w:proofErr w:type="spellEnd"/>
      <w:r w:rsidRPr="00213D08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 warrants’ (métal préparé pour être livré).</w:t>
      </w:r>
    </w:p>
    <w:p w14:paraId="50034320" w14:textId="77777777" w:rsidR="00213D08" w:rsidRPr="00213D08" w:rsidRDefault="00213D08" w:rsidP="00213D08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213D08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Après un rebond marqué vendredi, l’or évolue peu aujourd’hui.</w:t>
      </w:r>
    </w:p>
    <w:p w14:paraId="2A90CF5E" w14:textId="77777777" w:rsidR="00CD0D9E" w:rsidRDefault="00CD0D9E"/>
    <w:sectPr w:rsidR="00CD0D9E" w:rsidSect="000F15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D08"/>
    <w:rsid w:val="000F156F"/>
    <w:rsid w:val="00213D08"/>
    <w:rsid w:val="00CD0D9E"/>
    <w:rsid w:val="00DE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37C9E3"/>
  <w15:chartTrackingRefBased/>
  <w15:docId w15:val="{AA7A49E6-E003-6F43-8803-B39DB6DA8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213D0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3D0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customStyle="1" w:styleId="infoarticle">
    <w:name w:val="info_article"/>
    <w:basedOn w:val="Normal"/>
    <w:rsid w:val="00213D0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213D0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13D0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Accentuation">
    <w:name w:val="Emphasis"/>
    <w:basedOn w:val="Policepardfaut"/>
    <w:uiPriority w:val="20"/>
    <w:qFormat/>
    <w:rsid w:val="00213D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8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2022-11-08T06:37:00Z</dcterms:created>
  <dcterms:modified xsi:type="dcterms:W3CDTF">2022-11-08T06:37:00Z</dcterms:modified>
</cp:coreProperties>
</file>